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95" w:rsidRPr="00296426" w:rsidRDefault="00433E95" w:rsidP="00433E95">
      <w:pPr>
        <w:rPr>
          <w:b/>
          <w:sz w:val="18"/>
          <w:szCs w:val="18"/>
        </w:rPr>
      </w:pPr>
      <w:r w:rsidRPr="00296426">
        <w:rPr>
          <w:b/>
          <w:sz w:val="18"/>
          <w:szCs w:val="18"/>
        </w:rPr>
        <w:t xml:space="preserve">How to Connect to DR VDI Environment using Horizon View </w:t>
      </w:r>
      <w:proofErr w:type="gramStart"/>
      <w:r w:rsidRPr="00296426">
        <w:rPr>
          <w:b/>
          <w:sz w:val="18"/>
          <w:szCs w:val="18"/>
        </w:rPr>
        <w:t>Client.-</w:t>
      </w:r>
      <w:proofErr w:type="gramEnd"/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Launch the Horizon View Client using the Horizon View Client </w:t>
      </w:r>
      <w:proofErr w:type="gramStart"/>
      <w:r w:rsidRPr="00296426">
        <w:rPr>
          <w:b w:val="0"/>
          <w:sz w:val="18"/>
          <w:szCs w:val="18"/>
        </w:rPr>
        <w:t>icon.-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b w:val="0"/>
          <w:noProof/>
          <w:sz w:val="18"/>
          <w:szCs w:val="18"/>
        </w:rPr>
        <w:drawing>
          <wp:inline distT="0" distB="0" distL="0" distR="0" wp14:anchorId="2911BE4E" wp14:editId="28BE7DE5">
            <wp:extent cx="800100" cy="824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314" cy="85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Add VDI DR Environment URL you’ll connect to by clicking on the “New Server” Button on the top left hand corner of the Horizon View </w:t>
      </w:r>
      <w:proofErr w:type="gramStart"/>
      <w:r w:rsidRPr="00296426">
        <w:rPr>
          <w:b w:val="0"/>
          <w:sz w:val="18"/>
          <w:szCs w:val="18"/>
        </w:rPr>
        <w:t>Client.-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b w:val="0"/>
          <w:noProof/>
          <w:sz w:val="18"/>
          <w:szCs w:val="18"/>
        </w:rPr>
        <w:drawing>
          <wp:inline distT="0" distB="0" distL="0" distR="0" wp14:anchorId="71C6B57E" wp14:editId="6F2D86F3">
            <wp:extent cx="1152525" cy="4816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11" cy="49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>In the subsequent window enter VDI-DR.DOT.GOV and click “Connect</w:t>
      </w:r>
      <w:proofErr w:type="gramStart"/>
      <w:r w:rsidRPr="00296426">
        <w:rPr>
          <w:b w:val="0"/>
          <w:sz w:val="18"/>
          <w:szCs w:val="18"/>
        </w:rPr>
        <w:t>”.-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drawing>
          <wp:inline distT="0" distB="0" distL="0" distR="0" wp14:anchorId="127537DC" wp14:editId="11764C9A">
            <wp:extent cx="2171700" cy="12333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2212" cy="123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You should now see a tile in the Horizon View Client for the connection server or security server you entered in the previous </w:t>
      </w:r>
      <w:proofErr w:type="gramStart"/>
      <w:r w:rsidRPr="00296426">
        <w:rPr>
          <w:b w:val="0"/>
          <w:sz w:val="18"/>
          <w:szCs w:val="18"/>
        </w:rPr>
        <w:t>step.-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drawing>
          <wp:inline distT="0" distB="0" distL="0" distR="0" wp14:anchorId="3BE8FCE2" wp14:editId="0F3965F1">
            <wp:extent cx="609600" cy="7130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879" cy="7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1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Validate connectivity using the Horizon View </w:t>
      </w:r>
      <w:proofErr w:type="gramStart"/>
      <w:r w:rsidRPr="00296426">
        <w:rPr>
          <w:b w:val="0"/>
          <w:sz w:val="18"/>
          <w:szCs w:val="18"/>
        </w:rPr>
        <w:t>Client.-</w:t>
      </w:r>
      <w:proofErr w:type="gramEnd"/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Double Click your newly added tile and you will be presented with the Disclaimer window. Click </w:t>
      </w:r>
      <w:proofErr w:type="gramStart"/>
      <w:r w:rsidRPr="00296426">
        <w:rPr>
          <w:b w:val="0"/>
          <w:sz w:val="18"/>
          <w:szCs w:val="18"/>
        </w:rPr>
        <w:t>Accept.-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lastRenderedPageBreak/>
        <w:drawing>
          <wp:inline distT="0" distB="0" distL="0" distR="0" wp14:anchorId="26786B3C" wp14:editId="5564DDCE">
            <wp:extent cx="2886075" cy="19482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1664" cy="195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 xml:space="preserve">Authentication is possible using your PIV Card or username and </w:t>
      </w:r>
      <w:proofErr w:type="gramStart"/>
      <w:r w:rsidRPr="00296426">
        <w:rPr>
          <w:b w:val="0"/>
          <w:sz w:val="18"/>
          <w:szCs w:val="18"/>
        </w:rPr>
        <w:t>password.-</w:t>
      </w:r>
      <w:proofErr w:type="gramEnd"/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>After accepting the Disclaimer you’ll be presented with your certificates. Select your Authentication certificate and click “OK</w:t>
      </w:r>
      <w:proofErr w:type="gramStart"/>
      <w:r w:rsidRPr="00296426">
        <w:rPr>
          <w:b w:val="0"/>
          <w:sz w:val="18"/>
          <w:szCs w:val="18"/>
        </w:rPr>
        <w:t>”.-</w:t>
      </w:r>
      <w:proofErr w:type="gramEnd"/>
      <w:r w:rsidRPr="00296426">
        <w:rPr>
          <w:b w:val="0"/>
          <w:sz w:val="18"/>
          <w:szCs w:val="18"/>
        </w:rPr>
        <w:br/>
        <w:t>Note: If you want to use your username and password, click cancel and proceed to step 3.</w:t>
      </w:r>
      <w:r w:rsidRPr="00296426">
        <w:rPr>
          <w:b w:val="0"/>
          <w:sz w:val="18"/>
          <w:szCs w:val="18"/>
        </w:rPr>
        <w:br/>
      </w:r>
      <w:r w:rsidRPr="00296426">
        <w:rPr>
          <w:b w:val="0"/>
          <w:noProof/>
          <w:sz w:val="18"/>
          <w:szCs w:val="18"/>
        </w:rPr>
        <w:drawing>
          <wp:inline distT="0" distB="0" distL="0" distR="0" wp14:anchorId="2F8E13BC" wp14:editId="7897E856">
            <wp:extent cx="2600325" cy="2190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72" cy="22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>You’ll next be presented with window to enter your PIV Card PIN. Enter your PIN and click “Login</w:t>
      </w:r>
      <w:proofErr w:type="gramStart"/>
      <w:r w:rsidRPr="00296426">
        <w:rPr>
          <w:b w:val="0"/>
          <w:sz w:val="18"/>
          <w:szCs w:val="18"/>
        </w:rPr>
        <w:t>”.-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lastRenderedPageBreak/>
        <w:drawing>
          <wp:inline distT="0" distB="0" distL="0" distR="0" wp14:anchorId="2F53AA60" wp14:editId="6B400D1B">
            <wp:extent cx="2529840" cy="1308338"/>
            <wp:effectExtent l="0" t="0" r="381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593" cy="13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>In the Login Windows enter your username and password and click on “Login</w:t>
      </w:r>
      <w:proofErr w:type="gramStart"/>
      <w:r w:rsidRPr="00296426">
        <w:rPr>
          <w:b w:val="0"/>
          <w:sz w:val="18"/>
          <w:szCs w:val="18"/>
        </w:rPr>
        <w:t>”.-</w:t>
      </w:r>
      <w:proofErr w:type="gramEnd"/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drawing>
          <wp:inline distT="0" distB="0" distL="0" distR="0" wp14:anchorId="51454B1F" wp14:editId="4A51BEFD">
            <wp:extent cx="2228850" cy="1504474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8234" cy="151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sz w:val="18"/>
          <w:szCs w:val="18"/>
        </w:rPr>
        <w:br/>
      </w:r>
      <w:r w:rsidRPr="00296426">
        <w:rPr>
          <w:b w:val="0"/>
          <w:sz w:val="18"/>
          <w:szCs w:val="18"/>
        </w:rPr>
        <w:br/>
      </w:r>
    </w:p>
    <w:p w:rsidR="00433E95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b w:val="0"/>
          <w:sz w:val="18"/>
          <w:szCs w:val="18"/>
        </w:rPr>
        <w:t>Once Authenticated you’ll be presented with a tile(s) for the pool(s) you’re entitled to. Double click on a pool you’re entitled to connect.</w:t>
      </w:r>
      <w:r w:rsidRPr="00296426">
        <w:rPr>
          <w:b w:val="0"/>
          <w:sz w:val="18"/>
          <w:szCs w:val="18"/>
        </w:rPr>
        <w:br/>
      </w:r>
      <w:r w:rsidRPr="00296426">
        <w:rPr>
          <w:noProof/>
          <w:sz w:val="18"/>
          <w:szCs w:val="18"/>
        </w:rPr>
        <w:lastRenderedPageBreak/>
        <w:drawing>
          <wp:inline distT="0" distB="0" distL="0" distR="0" wp14:anchorId="6A1008BC" wp14:editId="7CF2F103">
            <wp:extent cx="3771900" cy="2676598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2613" cy="26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426">
        <w:rPr>
          <w:b w:val="0"/>
          <w:noProof/>
          <w:sz w:val="18"/>
          <w:szCs w:val="18"/>
        </w:rPr>
        <w:br/>
      </w:r>
    </w:p>
    <w:p w:rsidR="00DE5796" w:rsidRPr="00296426" w:rsidRDefault="00433E95" w:rsidP="00433E95">
      <w:pPr>
        <w:pStyle w:val="Heading2"/>
        <w:numPr>
          <w:ilvl w:val="2"/>
          <w:numId w:val="2"/>
        </w:numPr>
        <w:rPr>
          <w:b w:val="0"/>
          <w:sz w:val="18"/>
          <w:szCs w:val="18"/>
        </w:rPr>
      </w:pPr>
      <w:r w:rsidRPr="00296426">
        <w:rPr>
          <w:sz w:val="18"/>
          <w:szCs w:val="18"/>
        </w:rPr>
        <w:t xml:space="preserve">Double click on a tile and verify you can log in successfully to a VDI </w:t>
      </w:r>
      <w:proofErr w:type="gramStart"/>
      <w:r w:rsidRPr="00296426">
        <w:rPr>
          <w:sz w:val="18"/>
          <w:szCs w:val="18"/>
        </w:rPr>
        <w:t>Desktop.-</w:t>
      </w:r>
      <w:proofErr w:type="gramEnd"/>
      <w:r w:rsidRPr="00296426">
        <w:rPr>
          <w:sz w:val="18"/>
          <w:szCs w:val="18"/>
        </w:rPr>
        <w:br/>
      </w:r>
      <w:bookmarkStart w:id="0" w:name="_GoBack"/>
      <w:r w:rsidRPr="00296426">
        <w:rPr>
          <w:noProof/>
          <w:sz w:val="18"/>
          <w:szCs w:val="18"/>
        </w:rPr>
        <w:drawing>
          <wp:inline distT="0" distB="0" distL="0" distR="0" wp14:anchorId="20969062" wp14:editId="4B2DCDFA">
            <wp:extent cx="3857625" cy="3183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0609" cy="319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96426">
        <w:rPr>
          <w:sz w:val="18"/>
          <w:szCs w:val="18"/>
        </w:rPr>
        <w:br/>
      </w:r>
    </w:p>
    <w:sectPr w:rsidR="00DE5796" w:rsidRPr="0029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5F6"/>
    <w:multiLevelType w:val="hybridMultilevel"/>
    <w:tmpl w:val="C70A6F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90FD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5"/>
    <w:rsid w:val="00216B02"/>
    <w:rsid w:val="00296426"/>
    <w:rsid w:val="00433E95"/>
    <w:rsid w:val="006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35E1-3507-4E5F-A703-6501F51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E95"/>
    <w:pPr>
      <w:spacing w:before="60" w:after="6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433E9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link w:val="Heading2Char"/>
    <w:unhideWhenUsed/>
    <w:qFormat/>
    <w:rsid w:val="00433E95"/>
    <w:pPr>
      <w:keepNext/>
      <w:numPr>
        <w:ilvl w:val="1"/>
        <w:numId w:val="1"/>
      </w:numPr>
      <w:spacing w:before="240"/>
      <w:outlineLvl w:val="1"/>
    </w:pPr>
    <w:rPr>
      <w:b/>
      <w:sz w:val="26"/>
    </w:rPr>
  </w:style>
  <w:style w:type="paragraph" w:styleId="Heading3">
    <w:name w:val="heading 3"/>
    <w:basedOn w:val="Normal"/>
    <w:link w:val="Heading3Char"/>
    <w:unhideWhenUsed/>
    <w:qFormat/>
    <w:rsid w:val="00433E95"/>
    <w:pPr>
      <w:keepNext/>
      <w:numPr>
        <w:ilvl w:val="2"/>
        <w:numId w:val="1"/>
      </w:numPr>
      <w:spacing w:before="240"/>
      <w:outlineLvl w:val="2"/>
    </w:pPr>
    <w:rPr>
      <w:rFonts w:ascii="Arial Bold" w:hAnsi="Arial Bold"/>
      <w:b/>
    </w:rPr>
  </w:style>
  <w:style w:type="paragraph" w:styleId="Heading4">
    <w:name w:val="heading 4"/>
    <w:basedOn w:val="Normal"/>
    <w:link w:val="Heading4Char"/>
    <w:unhideWhenUsed/>
    <w:qFormat/>
    <w:rsid w:val="00433E95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433E95"/>
    <w:pPr>
      <w:keepNext/>
      <w:numPr>
        <w:ilvl w:val="4"/>
        <w:numId w:val="1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433E95"/>
    <w:pPr>
      <w:keepNext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433E95"/>
    <w:pPr>
      <w:keepNext/>
      <w:keepLines/>
      <w:numPr>
        <w:ilvl w:val="6"/>
        <w:numId w:val="1"/>
      </w:numPr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433E95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433E95"/>
    <w:pPr>
      <w:numPr>
        <w:ilvl w:val="8"/>
        <w:numId w:val="1"/>
      </w:numPr>
      <w:spacing w:before="24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E95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33E95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433E95"/>
    <w:rPr>
      <w:rFonts w:ascii="Arial Bold" w:eastAsia="Times New Roman" w:hAnsi="Arial Bold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33E9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33E95"/>
    <w:rPr>
      <w:rFonts w:ascii="Arial" w:eastAsia="Times New Roman" w:hAnsi="Arial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33E95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33E95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33E9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33E9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Alonzo, Leif CTR (OST)</dc:creator>
  <cp:keywords/>
  <dc:description/>
  <cp:lastModifiedBy>Theo Alexander</cp:lastModifiedBy>
  <cp:revision>2</cp:revision>
  <dcterms:created xsi:type="dcterms:W3CDTF">2019-02-19T20:50:00Z</dcterms:created>
  <dcterms:modified xsi:type="dcterms:W3CDTF">2019-02-19T20:50:00Z</dcterms:modified>
</cp:coreProperties>
</file>